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DAS BESTE AUS ZWEI WELTEN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 (Hose ab Oktober)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Stehkragen-Jacke aus Wolle mit Kaschmir. Klassische Hose aus Baumwoll-Gabardine. Stecktuch aus reiner Wolle.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